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alibri" w:cs="Calibri" w:eastAsia="Calibri" w:hAnsi="Calibri"/>
          <w:b/>
          <w:bCs/>
          <w:sz w:val="38"/>
          <w:szCs w:val="38"/>
        </w:rPr>
        <w:t xml:space="preserve">Betriebsanweisung — Alleinarbeit</w:t>
      </w:r>
    </w:p>
    <w:p>
      <w:pPr>
        <w:spacing w:after="160"/>
      </w:pPr>
      <w:r>
        <w:rPr>
          <w:rFonts w:ascii="Calibri" w:cs="Calibri" w:eastAsia="Calibri" w:hAnsi="Calibri"/>
          <w:color w:val="5A5A5A"/>
          <w:sz w:val="20"/>
          <w:szCs w:val="20"/>
        </w:rPr>
        <w:t xml:space="preserve">gem. § 12 ArbSchG i. V. m. der Gefährdungsbeurteilung des Bereichs · Nummer: ________ · gültig ab: 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0E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Muster zur Orientierung —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ersetzt nicht die betriebliche Gefährdungsbeurteilung und keine Beratung durch eine Fachkraft für Arbeitssicherheit. Kein Anspruch auf Vollständigkeit; an den Betrieb anzupassen. Aufbau angelehnt an das übliche Betriebsanweisungs-Schema der Unfallversicherungsträger. Stand: 02.09.2026</w:t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D9D9D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1. Anwendungsbereich</w:t>
            </w:r>
          </w:p>
        </w:tc>
      </w:tr>
      <w:tr>
        <w:tc>
          <w:tcPr>
            <w:tcW w:type="dxa" w:w="9360"/>
            <w:tcMar>
              <w:top w:type="dxa" w:w="100"/>
              <w:left w:type="dxa" w:w="140"/>
              <w:bottom w:type="dxa" w:w="120"/>
              <w:right w:type="dxa" w:w="1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Betrieb/Einrichtung: ______________________________________________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Arbeitsbereich/Objekt: ______________________________________________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Diese Betriebsanweisung gilt für alle Beschäftigten, die in diesem Bereich allein — außerhalb von Ruf- und Sichtweite zu anderen — arbeiten (Alleinarbeit nach DGUV Regel 100-001, Abschnitt 2.7.2).</w:t>
            </w:r>
          </w:p>
        </w:tc>
      </w:tr>
      <w:tr>
        <w:tc>
          <w:tcPr>
            <w:tcW w:type="dxa" w:w="9360"/>
            <w:shd w:fill="D9D9D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2. Gefahren für Mensch und Umwelt</w:t>
            </w:r>
          </w:p>
        </w:tc>
      </w:tr>
      <w:tr>
        <w:tc>
          <w:tcPr>
            <w:tcW w:type="dxa" w:w="9360"/>
            <w:tcMar>
              <w:top w:type="dxa" w:w="10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Bei Alleinarbeit besteht die besondere Gefahr, dass ein Notfall — Unfall, Sturz, plötzliche Erkrankung, Übergriff — nicht oder erst spät bemerkt wird und Hilfe verzögert eintrifft.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Bereichsspezifische Gefährdungen (aus der Gefährdungsbeurteilung übernehmen): ______________________________________________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______________________________________________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______________________________________________</w:t>
            </w:r>
          </w:p>
        </w:tc>
      </w:tr>
      <w:tr>
        <w:tc>
          <w:tcPr>
            <w:tcW w:type="dxa" w:w="9360"/>
            <w:shd w:fill="D9D9D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3. Schutzmaßnahmen und Verhaltensregeln</w:t>
            </w:r>
          </w:p>
        </w:tc>
      </w:tr>
      <w:tr>
        <w:tc>
          <w:tcPr>
            <w:tcW w:type="dxa" w:w="9360"/>
            <w:tcMar>
              <w:top w:type="dxa" w:w="100"/>
              <w:left w:type="dxa" w:w="140"/>
              <w:bottom w:type="dxa" w:w="120"/>
              <w:right w:type="dxa" w:w="14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Vor Beginn: Schicht im festgelegten Meldesystem anmelden. Meldesystem/Gerät: 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Während der Arbeit: Meldeintervall einhalten — alle ______ Minuten bestätigen.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Erreichbarkeit sicherstellen (Gerät geladen, am Körper, Empfang geprüft).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Folgende Tätigkeiten werden NICHT allein ausgeführt: ______________________________________________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__________________________________________________________________________________________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Nach Ende der Arbeit: Schicht abmelden. Wer sich nicht abmeldet, gilt als vermisst — die Meldekette läuft an.</w:t>
            </w:r>
          </w:p>
        </w:tc>
      </w:tr>
      <w:tr>
        <w:tc>
          <w:tcPr>
            <w:tcW w:type="dxa" w:w="9360"/>
            <w:shd w:fill="D9D9D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4. Verhalten bei Störungen</w:t>
            </w:r>
          </w:p>
        </w:tc>
      </w:tr>
      <w:tr>
        <w:tc>
          <w:tcPr>
            <w:tcW w:type="dxa" w:w="9360"/>
            <w:tcMar>
              <w:top w:type="dxa" w:w="100"/>
              <w:left w:type="dxa" w:w="140"/>
              <w:bottom w:type="dxa" w:w="120"/>
              <w:right w:type="dxa" w:w="14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Meldesystem/Gerät gestört oder ohne Empfang: Arbeit an diesem Ort unterbrechen und zuständige Stelle informieren: 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Kein Ersatz-Meldeweg verfügbar: keine Alleinarbeit — Tätigkeit verschieben oder zweite Person hinzuziehen.</w:t>
            </w:r>
          </w:p>
        </w:tc>
      </w:tr>
      <w:tr>
        <w:tc>
          <w:tcPr>
            <w:tcW w:type="dxa" w:w="9360"/>
            <w:shd w:fill="D9D9D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5. Verhalten bei Unfällen / Notfällen — Erste Hilfe</w:t>
            </w:r>
          </w:p>
        </w:tc>
      </w:tr>
      <w:tr>
        <w:tc>
          <w:tcPr>
            <w:tcW w:type="dxa" w:w="9360"/>
            <w:tcMar>
              <w:top w:type="dxa" w:w="100"/>
              <w:left w:type="dxa" w:w="140"/>
              <w:bottom w:type="dxa" w:w="120"/>
              <w:right w:type="dxa" w:w="14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Eigener Notfall: SOS am Meldesystem auslösen; wenn möglich Notruf 112 wählen.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Bei ausbleibender Meldung einer/eines Beschäftigten: Eskalationskette abarbeiten — Stufe 1: ____________________  Stufe 2: ____________________  Stufe 3: 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Wer die Person erreicht: Erste Hilfe leisten, Notruf 112 (Ort, Zugang, Lage der Person), Ersthelfer: 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Jeden Vorfall dokumentieren und der Führungskraft melden; Verbandbuch führen.</w:t>
            </w:r>
          </w:p>
        </w:tc>
      </w:tr>
      <w:tr>
        <w:tc>
          <w:tcPr>
            <w:tcW w:type="dxa" w:w="9360"/>
            <w:shd w:fill="D9D9D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6. Instandhaltung, Prüfung, Nachweis</w:t>
            </w:r>
          </w:p>
        </w:tc>
      </w:tr>
      <w:tr>
        <w:tc>
          <w:tcPr>
            <w:tcW w:type="dxa" w:w="9360"/>
            <w:tcMar>
              <w:top w:type="dxa" w:w="100"/>
              <w:left w:type="dxa" w:w="140"/>
              <w:bottom w:type="dxa" w:w="120"/>
              <w:right w:type="dxa" w:w="14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Meldesystem/Geräte regelmäßig prüfen (Funktion, Akku, Kontakte der Kette aktuell).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Meldungen und Alarme werden protokolliert; die Protokolle sind Nachweis der Wirksamkeitskontrolle (§ 3 Abs. 1 ArbSchG).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Unterweisung zu dieser Betriebsanweisung: vor Aufnahme der Tätigkeit und danach mindestens jährlich (§ 12 ArbSchG).</w:t>
            </w:r>
          </w:p>
        </w:tc>
      </w:tr>
    </w:tbl>
    <w:p>
      <w:pPr>
        <w:spacing w:before="240"/>
      </w:pPr>
      <w:r>
        <w:rPr>
          <w:rFonts w:ascii="Calibri" w:cs="Calibri" w:eastAsia="Calibri" w:hAnsi="Calibri"/>
          <w:sz w:val="21"/>
          <w:szCs w:val="21"/>
        </w:rPr>
        <w:t xml:space="preserve">Datum: _______________    Unterschrift Arbeitgeber/Führungskraft: ______________________________</w:t>
      </w:r>
    </w:p>
    <w:p>
      <w:pPr>
        <w:spacing w:before="160"/>
      </w:pPr>
      <w:r>
        <w:rPr>
          <w:rFonts w:ascii="Calibri" w:cs="Calibri" w:eastAsia="Calibri" w:hAnsi="Calibri"/>
          <w:color w:val="5A5A5A"/>
          <w:sz w:val="17"/>
          <w:szCs w:val="17"/>
        </w:rPr>
        <w:t xml:space="preserve">Quellen: ArbSchG §§ 3, 5, 6, 12 · DGUV Vorschrift 1 §§ 3, 8 · DGUV Regel 100-001, Abschn. 2.7.2 · DGUV Information 212-139 · DGUV Information 204-022 (Rettungskette). publikationen.dguv.de · gesetze-im-internet.de</w:t>
      </w:r>
    </w:p>
    <w:sectPr>
      <w:headerReference w:type="default" r:id="rId7"/>
      <w:footerReference w:type="default" r:id="rId8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5A5A"/>
        <w:sz w:val="16"/>
        <w:szCs w:val="16"/>
      </w:rPr>
      <w:t xml:space="preserve">Bereitgestellt von Solavo · solavo-app.de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5A5A"/>
        <w:sz w:val="16"/>
        <w:szCs w:val="16"/>
      </w:rPr>
      <w:t xml:space="preserve">Muster-Betriebsanweisung Alleinarbeit — Stand 02.09.2026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00" w:hanging="1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2026-09-01T21:50:24.823Z</dcterms:created>
  <dcterms:modified xsi:type="dcterms:W3CDTF">2026-09-01T21:50:24.823Z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